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Default="00CA5B94">
      <w:r w:rsidRPr="00217F41">
        <w:rPr>
          <w:rFonts w:ascii="Cambria" w:hAnsi="Cambria"/>
          <w:noProof/>
          <w:spacing w:val="-4"/>
          <w:lang w:eastAsia="tr-TR"/>
        </w:rPr>
        <w:drawing>
          <wp:inline distT="0" distB="0" distL="0" distR="0" wp14:anchorId="18DA9DE1" wp14:editId="15E775B7">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0A5676" w:rsidRPr="000A5676" w:rsidTr="0043626D">
        <w:tc>
          <w:tcPr>
            <w:tcW w:w="9187" w:type="dxa"/>
            <w:gridSpan w:val="2"/>
          </w:tcPr>
          <w:p w:rsidR="000A5676" w:rsidRPr="00492F39" w:rsidRDefault="000A5676" w:rsidP="0072768D">
            <w:pPr>
              <w:spacing w:line="260" w:lineRule="atLeast"/>
              <w:jc w:val="both"/>
              <w:outlineLvl w:val="0"/>
              <w:rPr>
                <w:rFonts w:ascii="Cambria" w:eastAsia="Times New Roman" w:hAnsi="Cambria" w:cs="Times New Roman"/>
                <w:color w:val="000099"/>
                <w:lang w:eastAsia="tr-TR"/>
              </w:rPr>
            </w:pPr>
          </w:p>
          <w:p w:rsidR="000A5676" w:rsidRPr="00492F39" w:rsidRDefault="000A5676" w:rsidP="00CA5B94">
            <w:pPr>
              <w:spacing w:line="260" w:lineRule="atLeast"/>
              <w:jc w:val="center"/>
              <w:outlineLvl w:val="0"/>
              <w:rPr>
                <w:rFonts w:ascii="Cambria" w:eastAsia="Times New Roman" w:hAnsi="Cambria" w:cs="Times New Roman"/>
                <w:b/>
                <w:color w:val="000099"/>
                <w:lang w:eastAsia="tr-TR"/>
              </w:rPr>
            </w:pPr>
            <w:r w:rsidRPr="00492F39">
              <w:rPr>
                <w:rFonts w:ascii="Cambria" w:eastAsia="Times New Roman" w:hAnsi="Cambria" w:cs="Times New Roman"/>
                <w:b/>
                <w:color w:val="000099"/>
                <w:lang w:eastAsia="tr-TR"/>
              </w:rPr>
              <w:t>BAKIŞ MEVZUAT</w:t>
            </w:r>
          </w:p>
          <w:p w:rsidR="000A5676" w:rsidRPr="00492F39" w:rsidRDefault="000A5676" w:rsidP="0072768D">
            <w:pPr>
              <w:spacing w:line="260" w:lineRule="atLeast"/>
              <w:jc w:val="both"/>
              <w:outlineLvl w:val="0"/>
              <w:rPr>
                <w:rFonts w:ascii="Cambria" w:eastAsia="Times New Roman" w:hAnsi="Cambria" w:cs="Times New Roman"/>
                <w:color w:val="000099"/>
                <w:lang w:eastAsia="tr-TR"/>
              </w:rPr>
            </w:pPr>
          </w:p>
        </w:tc>
      </w:tr>
      <w:tr w:rsidR="0043626D" w:rsidRPr="000A5676" w:rsidTr="001C6AA1">
        <w:tc>
          <w:tcPr>
            <w:tcW w:w="1951" w:type="dxa"/>
          </w:tcPr>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BAŞLIK </w:t>
            </w:r>
          </w:p>
        </w:tc>
        <w:tc>
          <w:tcPr>
            <w:tcW w:w="7236" w:type="dxa"/>
          </w:tcPr>
          <w:p w:rsidR="0043626D" w:rsidRPr="00557210"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557210"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117C89" w:rsidRPr="00117C89" w:rsidRDefault="00117C89" w:rsidP="00117C89">
            <w:pPr>
              <w:tabs>
                <w:tab w:val="left" w:pos="567"/>
              </w:tabs>
              <w:spacing w:line="360" w:lineRule="auto"/>
              <w:jc w:val="center"/>
              <w:rPr>
                <w:rFonts w:ascii="Times New Roman" w:eastAsia="Batang" w:hAnsi="Times New Roman" w:cs="Times New Roman"/>
                <w:b/>
                <w:color w:val="1F497D" w:themeColor="text2"/>
                <w:sz w:val="24"/>
                <w:szCs w:val="24"/>
              </w:rPr>
            </w:pPr>
            <w:r w:rsidRPr="00117C89">
              <w:rPr>
                <w:rFonts w:ascii="Times New Roman" w:eastAsia="Batang" w:hAnsi="Times New Roman" w:cs="Times New Roman"/>
                <w:b/>
                <w:color w:val="1F497D" w:themeColor="text2"/>
                <w:sz w:val="24"/>
                <w:szCs w:val="24"/>
              </w:rPr>
              <w:t xml:space="preserve">MAL VE HİZMET TEDARİKİNDE ALACAKLIYA YAPILAN GEÇ ÖDEMELERE İLİŞKİN TEMERRÜT FAİZ ORANININ </w:t>
            </w:r>
          </w:p>
          <w:p w:rsidR="0043626D" w:rsidRPr="007A0257" w:rsidRDefault="00117C89" w:rsidP="00117C89">
            <w:pPr>
              <w:tabs>
                <w:tab w:val="left" w:pos="567"/>
              </w:tabs>
              <w:spacing w:line="360" w:lineRule="auto"/>
              <w:jc w:val="center"/>
              <w:rPr>
                <w:rFonts w:ascii="Times New Roman" w:eastAsia="Times New Roman" w:hAnsi="Times New Roman" w:cs="Times New Roman"/>
                <w:b/>
                <w:color w:val="000099"/>
                <w:spacing w:val="-4"/>
                <w:sz w:val="24"/>
                <w:szCs w:val="24"/>
                <w:lang w:eastAsia="tr-TR"/>
              </w:rPr>
            </w:pPr>
            <w:r w:rsidRPr="00117C89">
              <w:rPr>
                <w:rFonts w:ascii="Times New Roman" w:eastAsia="Batang" w:hAnsi="Times New Roman" w:cs="Times New Roman"/>
                <w:b/>
                <w:color w:val="1F497D" w:themeColor="text2"/>
                <w:sz w:val="24"/>
                <w:szCs w:val="24"/>
              </w:rPr>
              <w:t>BELİRLENMESİ HAKKINDA TEBLİĞ</w:t>
            </w:r>
          </w:p>
        </w:tc>
      </w:tr>
      <w:tr w:rsidR="0043626D" w:rsidRPr="000A5676" w:rsidTr="00117C89">
        <w:trPr>
          <w:trHeight w:val="444"/>
        </w:trPr>
        <w:tc>
          <w:tcPr>
            <w:tcW w:w="1951" w:type="dxa"/>
          </w:tcPr>
          <w:p w:rsidR="0043626D" w:rsidRPr="00492F39" w:rsidRDefault="0043626D"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Sayı </w:t>
            </w:r>
          </w:p>
        </w:tc>
        <w:tc>
          <w:tcPr>
            <w:tcW w:w="7236" w:type="dxa"/>
          </w:tcPr>
          <w:p w:rsidR="00104ECF" w:rsidRDefault="00104ECF"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 </w:t>
            </w:r>
          </w:p>
          <w:p w:rsidR="0043626D" w:rsidRPr="00557210" w:rsidRDefault="00243EB6"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2017/18</w:t>
            </w:r>
            <w:bookmarkStart w:id="0" w:name="_GoBack"/>
            <w:bookmarkEnd w:id="0"/>
          </w:p>
        </w:tc>
      </w:tr>
      <w:tr w:rsidR="0043626D" w:rsidRPr="000A5676" w:rsidTr="007A0257">
        <w:trPr>
          <w:trHeight w:val="1622"/>
        </w:trPr>
        <w:tc>
          <w:tcPr>
            <w:tcW w:w="1951" w:type="dxa"/>
          </w:tcPr>
          <w:p w:rsidR="0043626D" w:rsidRPr="00492F3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ÖZET </w:t>
            </w:r>
          </w:p>
        </w:tc>
        <w:tc>
          <w:tcPr>
            <w:tcW w:w="7236" w:type="dxa"/>
          </w:tcPr>
          <w:p w:rsidR="00117C89" w:rsidRPr="00117C89" w:rsidRDefault="00117C89" w:rsidP="00117C89">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117C89" w:rsidRPr="00117C89" w:rsidRDefault="00117C89" w:rsidP="00117C89">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17C89">
              <w:rPr>
                <w:rFonts w:ascii="Times New Roman" w:eastAsia="Times New Roman" w:hAnsi="Times New Roman" w:cs="Times New Roman"/>
                <w:color w:val="000099"/>
                <w:spacing w:val="-4"/>
                <w:sz w:val="24"/>
                <w:szCs w:val="24"/>
                <w:lang w:eastAsia="tr-TR"/>
              </w:rPr>
              <w:t xml:space="preserve">6102 sayılı Türk Ticaret Kanunu’nun 1530 uncu maddesinin yedinci fıkrası uyarınca mal ve hizmet tedarikinde alacaklıya yapılan geç ödemelere ilişkin temerrüt faiz oranının sözleşmede öngörülmediği veya ilgili hükümlerin geçersiz olduğu hallerde uygulanacak faiz oranı </w:t>
            </w:r>
            <w:r w:rsidR="008C5F5C" w:rsidRPr="008C5F5C">
              <w:rPr>
                <w:rFonts w:ascii="Times New Roman" w:eastAsia="Times New Roman" w:hAnsi="Times New Roman" w:cs="Times New Roman"/>
                <w:color w:val="000099"/>
                <w:spacing w:val="-4"/>
                <w:sz w:val="24"/>
                <w:szCs w:val="24"/>
                <w:lang w:eastAsia="tr-TR"/>
              </w:rPr>
              <w:t xml:space="preserve">1 Ocak 2017  tarihinden itibaren  yıllık yüzde 10,75, alacağın tahsili masrafları için talep edilebilecek asgari giderim tutarı 150,00 </w:t>
            </w:r>
            <w:r w:rsidR="008C5F5C">
              <w:rPr>
                <w:rFonts w:ascii="Times New Roman" w:eastAsia="Times New Roman" w:hAnsi="Times New Roman" w:cs="Times New Roman"/>
                <w:color w:val="000099"/>
                <w:spacing w:val="-4"/>
                <w:sz w:val="24"/>
                <w:szCs w:val="24"/>
                <w:lang w:eastAsia="tr-TR"/>
              </w:rPr>
              <w:t xml:space="preserve"> </w:t>
            </w:r>
            <w:r w:rsidRPr="00117C89">
              <w:rPr>
                <w:rFonts w:ascii="Times New Roman" w:eastAsia="Times New Roman" w:hAnsi="Times New Roman" w:cs="Times New Roman"/>
                <w:color w:val="000099"/>
                <w:spacing w:val="-4"/>
                <w:sz w:val="24"/>
                <w:szCs w:val="24"/>
                <w:lang w:eastAsia="tr-TR"/>
              </w:rPr>
              <w:t xml:space="preserve"> Türk </w:t>
            </w:r>
            <w:r>
              <w:rPr>
                <w:rFonts w:ascii="Times New Roman" w:eastAsia="Times New Roman" w:hAnsi="Times New Roman" w:cs="Times New Roman"/>
                <w:color w:val="000099"/>
                <w:spacing w:val="-4"/>
                <w:sz w:val="24"/>
                <w:szCs w:val="24"/>
                <w:lang w:eastAsia="tr-TR"/>
              </w:rPr>
              <w:t xml:space="preserve">lirası  olarak tespit edildi. </w:t>
            </w:r>
          </w:p>
          <w:p w:rsidR="0043626D" w:rsidRPr="00557210" w:rsidRDefault="0043626D" w:rsidP="006076E3">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tc>
      </w:tr>
    </w:tbl>
    <w:p w:rsidR="000A5676" w:rsidRDefault="000A5676" w:rsidP="00A93676">
      <w:pPr>
        <w:spacing w:after="0" w:line="260" w:lineRule="atLeast"/>
        <w:jc w:val="both"/>
        <w:outlineLvl w:val="0"/>
        <w:rPr>
          <w:rFonts w:ascii="Cambria" w:eastAsia="Times New Roman" w:hAnsi="Cambria" w:cs="Times New Roman"/>
          <w:b/>
          <w:lang w:eastAsia="tr-TR"/>
        </w:rPr>
      </w:pPr>
    </w:p>
    <w:p w:rsidR="00492F39" w:rsidRDefault="00492F39" w:rsidP="00A93676">
      <w:pPr>
        <w:spacing w:after="0" w:line="260" w:lineRule="atLeast"/>
        <w:jc w:val="both"/>
        <w:outlineLvl w:val="0"/>
        <w:rPr>
          <w:rFonts w:ascii="Cambria" w:eastAsia="Times New Roman" w:hAnsi="Cambria" w:cs="Times New Roman"/>
          <w:b/>
          <w:lang w:eastAsia="tr-TR"/>
        </w:rPr>
      </w:pPr>
    </w:p>
    <w:p w:rsidR="003C73AD" w:rsidRPr="00117C89" w:rsidRDefault="00117C89" w:rsidP="00117C89">
      <w:pPr>
        <w:tabs>
          <w:tab w:val="left" w:pos="566"/>
        </w:tabs>
        <w:spacing w:after="0"/>
        <w:ind w:firstLine="566"/>
        <w:jc w:val="both"/>
        <w:rPr>
          <w:rFonts w:ascii="Times New Roman" w:hAnsi="Times New Roman" w:cs="Times New Roman"/>
          <w:spacing w:val="-3"/>
          <w:sz w:val="24"/>
          <w:szCs w:val="24"/>
        </w:rPr>
      </w:pPr>
      <w:r w:rsidRPr="00117C89">
        <w:rPr>
          <w:rFonts w:ascii="Times New Roman" w:hAnsi="Times New Roman" w:cs="Times New Roman"/>
          <w:spacing w:val="-3"/>
          <w:sz w:val="24"/>
          <w:szCs w:val="24"/>
        </w:rPr>
        <w:t>6102 sayılı Türk Ticaret Kanununun “Ticari hükümlerle yasaklanmış işlemler ile mal ve hizmet tedarikinde geç ödemenin sonuçları” başlığ</w:t>
      </w:r>
      <w:r>
        <w:rPr>
          <w:rFonts w:ascii="Times New Roman" w:hAnsi="Times New Roman" w:cs="Times New Roman"/>
          <w:spacing w:val="-3"/>
          <w:sz w:val="24"/>
          <w:szCs w:val="24"/>
        </w:rPr>
        <w:t xml:space="preserve">ını taşıyan 1530’uncu maddesinin 7’nci fıkrasında aşağıdaki düzenleme yer almaktadır. </w:t>
      </w:r>
    </w:p>
    <w:p w:rsidR="00117C89" w:rsidRDefault="00117C89" w:rsidP="003C73AD">
      <w:pPr>
        <w:spacing w:after="160" w:line="360" w:lineRule="auto"/>
        <w:jc w:val="both"/>
        <w:rPr>
          <w:rFonts w:ascii="Times New Roman" w:eastAsia="Cambria" w:hAnsi="Times New Roman" w:cs="Times New Roman"/>
          <w:sz w:val="24"/>
          <w:szCs w:val="24"/>
        </w:rPr>
      </w:pPr>
    </w:p>
    <w:p w:rsidR="003C73AD" w:rsidRPr="003C73AD" w:rsidRDefault="00117C89" w:rsidP="00117C89">
      <w:pPr>
        <w:spacing w:after="160" w:line="360" w:lineRule="auto"/>
        <w:ind w:left="566"/>
        <w:jc w:val="both"/>
        <w:rPr>
          <w:rFonts w:ascii="Times New Roman" w:eastAsia="Cambria" w:hAnsi="Times New Roman" w:cs="Times New Roman"/>
          <w:sz w:val="24"/>
          <w:szCs w:val="24"/>
        </w:rPr>
      </w:pPr>
      <w:r>
        <w:rPr>
          <w:rFonts w:ascii="Times New Roman" w:eastAsia="Cambria" w:hAnsi="Times New Roman" w:cs="Times New Roman"/>
          <w:sz w:val="24"/>
          <w:szCs w:val="24"/>
        </w:rPr>
        <w:t>“</w:t>
      </w:r>
      <w:r w:rsidRPr="00117C89">
        <w:rPr>
          <w:rFonts w:ascii="Times New Roman" w:eastAsia="Cambria" w:hAnsi="Times New Roman" w:cs="Times New Roman"/>
          <w:sz w:val="24"/>
          <w:szCs w:val="24"/>
        </w:rPr>
        <w:t>(7) Bu madde hükümleri uyarınca alacaklıya yapılan geç ödemelere ilişkin temerrüt faiz oranının sözleşmede öngörülmediği veya ilgili hükümlerin geçersiz olduğu hâllerde uygulanacak faiz oranını ve alacağın tahsili masrafları için talep edilebilecek asgari giderim tutarını Türkiye Cumhuriyet Merkez Bankası her yıl ocak ayında ilan eder. Faiz oranı, 4/12/1984 tarihli ve 3095 sayılı Kanuni Faiz ve Temerrüt Faizine İlişkin Kanunda öngörülen ticari işlere uygulanacak gecikme faizi oranından en az yüzde sekiz fazla olmalıdır.</w:t>
      </w:r>
      <w:r>
        <w:rPr>
          <w:rFonts w:ascii="Times New Roman" w:eastAsia="Cambria" w:hAnsi="Times New Roman" w:cs="Times New Roman"/>
          <w:sz w:val="24"/>
          <w:szCs w:val="24"/>
        </w:rPr>
        <w:t>”</w:t>
      </w:r>
    </w:p>
    <w:p w:rsidR="006076E3" w:rsidRDefault="00117C89" w:rsidP="00117C89">
      <w:pPr>
        <w:spacing w:line="360" w:lineRule="auto"/>
        <w:jc w:val="both"/>
        <w:rPr>
          <w:rFonts w:ascii="Times New Roman" w:hAnsi="Times New Roman" w:cs="Times New Roman"/>
          <w:spacing w:val="-3"/>
          <w:sz w:val="24"/>
          <w:szCs w:val="24"/>
        </w:rPr>
      </w:pPr>
      <w:r w:rsidRPr="00117C89">
        <w:rPr>
          <w:rFonts w:ascii="Times New Roman" w:hAnsi="Times New Roman" w:cs="Times New Roman"/>
          <w:spacing w:val="-3"/>
          <w:sz w:val="24"/>
          <w:szCs w:val="24"/>
        </w:rPr>
        <w:t>Merkez Bankası</w:t>
      </w:r>
      <w:r>
        <w:rPr>
          <w:rFonts w:ascii="Times New Roman" w:hAnsi="Times New Roman" w:cs="Times New Roman"/>
          <w:spacing w:val="-3"/>
          <w:sz w:val="24"/>
          <w:szCs w:val="24"/>
        </w:rPr>
        <w:t>’</w:t>
      </w:r>
      <w:r w:rsidRPr="00117C89">
        <w:rPr>
          <w:rFonts w:ascii="Times New Roman" w:hAnsi="Times New Roman" w:cs="Times New Roman"/>
          <w:spacing w:val="-3"/>
          <w:sz w:val="24"/>
          <w:szCs w:val="24"/>
        </w:rPr>
        <w:t xml:space="preserve">nca </w:t>
      </w:r>
      <w:r w:rsidR="008C5F5C" w:rsidRPr="008C5F5C">
        <w:rPr>
          <w:rFonts w:ascii="Times New Roman" w:hAnsi="Times New Roman" w:cs="Times New Roman"/>
          <w:spacing w:val="-3"/>
          <w:sz w:val="24"/>
          <w:szCs w:val="24"/>
        </w:rPr>
        <w:t xml:space="preserve">2 Ocak </w:t>
      </w:r>
      <w:proofErr w:type="gramStart"/>
      <w:r w:rsidR="008C5F5C" w:rsidRPr="008C5F5C">
        <w:rPr>
          <w:rFonts w:ascii="Times New Roman" w:hAnsi="Times New Roman" w:cs="Times New Roman"/>
          <w:spacing w:val="-3"/>
          <w:sz w:val="24"/>
          <w:szCs w:val="24"/>
        </w:rPr>
        <w:t>2017     tarihli</w:t>
      </w:r>
      <w:proofErr w:type="gramEnd"/>
      <w:r w:rsidR="008C5F5C" w:rsidRPr="008C5F5C">
        <w:rPr>
          <w:rFonts w:ascii="Times New Roman" w:hAnsi="Times New Roman" w:cs="Times New Roman"/>
          <w:spacing w:val="-3"/>
          <w:sz w:val="24"/>
          <w:szCs w:val="24"/>
        </w:rPr>
        <w:t xml:space="preserve"> ve 29936   sayılı   Resmi Gazetede yayımlanan “Mal ve Hizmet Tedarikinde Alacaklıya Yapılan Geç Ödemelere İlişkin Temerrüt Faiz Oranının </w:t>
      </w:r>
      <w:r w:rsidR="008C5F5C" w:rsidRPr="008C5F5C">
        <w:rPr>
          <w:rFonts w:ascii="Times New Roman" w:hAnsi="Times New Roman" w:cs="Times New Roman"/>
          <w:spacing w:val="-3"/>
          <w:sz w:val="24"/>
          <w:szCs w:val="24"/>
        </w:rPr>
        <w:lastRenderedPageBreak/>
        <w:t>Belirlenmesi Hakkında Tebliğ”de 13/01/2011 tarihli ve 6102 sayılı Türk Ticaret Kanununun 1530 uncu maddesinin yedinci fıkrası uyarınca mal ve hizmet tedarikinde alacaklıya yapılan geç ödemelere ilişkin temerrüt faiz oranının sözleşmede öngörülmediği veya ilgili hükümlerin geçersiz olduğu hallerde uygulanacak faiz oranı yıllık yüzde 10,75, alacağın tahsili masrafları için talep edilebilecek asgari giderim tutarı 150,00 Türk Lirası olarak tespit edilmiştir.</w:t>
      </w:r>
    </w:p>
    <w:p w:rsidR="00CA5B94" w:rsidRDefault="00CA5B94" w:rsidP="00117C89">
      <w:pPr>
        <w:spacing w:line="360" w:lineRule="auto"/>
        <w:jc w:val="both"/>
        <w:rPr>
          <w:rFonts w:ascii="Times New Roman" w:hAnsi="Times New Roman" w:cs="Times New Roman"/>
          <w:spacing w:val="-3"/>
          <w:sz w:val="24"/>
          <w:szCs w:val="24"/>
        </w:rPr>
      </w:pPr>
      <w:r w:rsidRPr="00217F41">
        <w:rPr>
          <w:rFonts w:ascii="Cambria" w:hAnsi="Cambria"/>
          <w:noProof/>
          <w:spacing w:val="-4"/>
          <w:lang w:eastAsia="tr-TR"/>
        </w:rPr>
        <w:drawing>
          <wp:inline distT="0" distB="0" distL="0" distR="0" wp14:anchorId="18DA9DE1" wp14:editId="15E775B7">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CA5B94" w:rsidRPr="0004568E" w:rsidRDefault="00CA5B94" w:rsidP="00CA5B94">
      <w:pPr>
        <w:pStyle w:val="AralkYok"/>
        <w:rPr>
          <w:b/>
          <w:color w:val="00B0F0"/>
          <w:sz w:val="28"/>
          <w:szCs w:val="28"/>
        </w:rPr>
      </w:pPr>
      <w:r w:rsidRPr="0004568E">
        <w:rPr>
          <w:b/>
          <w:color w:val="00B0F0"/>
          <w:sz w:val="28"/>
          <w:szCs w:val="28"/>
        </w:rPr>
        <w:t>BAKIŞ YMM VE BAĞIMSIZ DENETİM A.Ş</w:t>
      </w:r>
    </w:p>
    <w:p w:rsidR="00CA5B94" w:rsidRPr="0004568E" w:rsidRDefault="00CA5B94" w:rsidP="00CA5B94">
      <w:pPr>
        <w:pStyle w:val="AralkYok"/>
        <w:rPr>
          <w:b/>
          <w:color w:val="00B0F0"/>
          <w:sz w:val="28"/>
          <w:szCs w:val="28"/>
        </w:rPr>
      </w:pPr>
      <w:r w:rsidRPr="0004568E">
        <w:rPr>
          <w:b/>
          <w:color w:val="00B0F0"/>
          <w:sz w:val="28"/>
          <w:szCs w:val="28"/>
        </w:rPr>
        <w:t xml:space="preserve">              YEMİNLİ MALİ MÜŞAVİR</w:t>
      </w:r>
    </w:p>
    <w:p w:rsidR="00CA5B94" w:rsidRDefault="00CA5B94" w:rsidP="00CA5B94">
      <w:pPr>
        <w:spacing w:line="360" w:lineRule="auto"/>
        <w:jc w:val="both"/>
        <w:rPr>
          <w:rFonts w:ascii="Times New Roman" w:hAnsi="Times New Roman" w:cs="Times New Roman"/>
          <w:spacing w:val="-3"/>
          <w:sz w:val="24"/>
          <w:szCs w:val="24"/>
        </w:rPr>
      </w:pPr>
      <w:r w:rsidRPr="0004568E">
        <w:rPr>
          <w:b/>
          <w:color w:val="00B0F0"/>
          <w:sz w:val="28"/>
          <w:szCs w:val="28"/>
        </w:rPr>
        <w:t xml:space="preserve">                </w:t>
      </w:r>
      <w:r>
        <w:rPr>
          <w:b/>
          <w:color w:val="00B0F0"/>
          <w:sz w:val="28"/>
          <w:szCs w:val="28"/>
        </w:rPr>
        <w:t xml:space="preserve">  </w:t>
      </w:r>
      <w:r w:rsidRPr="0004568E">
        <w:rPr>
          <w:b/>
          <w:color w:val="00B0F0"/>
          <w:sz w:val="28"/>
          <w:szCs w:val="28"/>
        </w:rPr>
        <w:t xml:space="preserve">  </w:t>
      </w:r>
      <w:r>
        <w:rPr>
          <w:b/>
          <w:color w:val="00B0F0"/>
          <w:sz w:val="28"/>
          <w:szCs w:val="28"/>
        </w:rPr>
        <w:t xml:space="preserve"> </w:t>
      </w:r>
      <w:r w:rsidRPr="0004568E">
        <w:rPr>
          <w:b/>
          <w:color w:val="00B0F0"/>
          <w:sz w:val="28"/>
          <w:szCs w:val="28"/>
        </w:rPr>
        <w:t>İLHAN ALKILIÇ</w:t>
      </w:r>
    </w:p>
    <w:sectPr w:rsidR="00CA5B94"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325FA"/>
    <w:rsid w:val="000A5676"/>
    <w:rsid w:val="000E191F"/>
    <w:rsid w:val="000E6F91"/>
    <w:rsid w:val="00102356"/>
    <w:rsid w:val="00104ECF"/>
    <w:rsid w:val="00117C89"/>
    <w:rsid w:val="001D3C09"/>
    <w:rsid w:val="001E7F5C"/>
    <w:rsid w:val="00234099"/>
    <w:rsid w:val="00243EB6"/>
    <w:rsid w:val="002765E4"/>
    <w:rsid w:val="0031440A"/>
    <w:rsid w:val="00361DF5"/>
    <w:rsid w:val="00377653"/>
    <w:rsid w:val="003B4BD4"/>
    <w:rsid w:val="003C73AD"/>
    <w:rsid w:val="003E078F"/>
    <w:rsid w:val="0043626D"/>
    <w:rsid w:val="00492F39"/>
    <w:rsid w:val="004B3BE4"/>
    <w:rsid w:val="00512749"/>
    <w:rsid w:val="00522AF5"/>
    <w:rsid w:val="00557210"/>
    <w:rsid w:val="005A0EA5"/>
    <w:rsid w:val="006076E3"/>
    <w:rsid w:val="00607BAE"/>
    <w:rsid w:val="006C557A"/>
    <w:rsid w:val="0070296C"/>
    <w:rsid w:val="00720F17"/>
    <w:rsid w:val="00734E07"/>
    <w:rsid w:val="00754080"/>
    <w:rsid w:val="00761AC4"/>
    <w:rsid w:val="0078078A"/>
    <w:rsid w:val="007910A6"/>
    <w:rsid w:val="007A0257"/>
    <w:rsid w:val="008C3B2E"/>
    <w:rsid w:val="008C5F5C"/>
    <w:rsid w:val="008E26CA"/>
    <w:rsid w:val="008E560A"/>
    <w:rsid w:val="008F74B7"/>
    <w:rsid w:val="00A23F81"/>
    <w:rsid w:val="00A93676"/>
    <w:rsid w:val="00AE1ABB"/>
    <w:rsid w:val="00C03AD3"/>
    <w:rsid w:val="00C73003"/>
    <w:rsid w:val="00CA5B94"/>
    <w:rsid w:val="00CE05D8"/>
    <w:rsid w:val="00D424CE"/>
    <w:rsid w:val="00D818AC"/>
    <w:rsid w:val="00D975FB"/>
    <w:rsid w:val="00E73276"/>
    <w:rsid w:val="00E9665B"/>
    <w:rsid w:val="00EB78EA"/>
    <w:rsid w:val="00F04CFA"/>
    <w:rsid w:val="00F35777"/>
    <w:rsid w:val="00F41A52"/>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87F41-369F-4CBC-A3C7-3C097CA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AralkYok">
    <w:name w:val="No Spacing"/>
    <w:uiPriority w:val="1"/>
    <w:qFormat/>
    <w:rsid w:val="00CA5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3</cp:revision>
  <cp:lastPrinted>2012-01-02T10:46:00Z</cp:lastPrinted>
  <dcterms:created xsi:type="dcterms:W3CDTF">2017-01-02T14:05:00Z</dcterms:created>
  <dcterms:modified xsi:type="dcterms:W3CDTF">2017-01-03T08:08:00Z</dcterms:modified>
</cp:coreProperties>
</file>